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F81811" w:rsidP="00A0788C">
      <w:pPr>
        <w:spacing w:after="0"/>
        <w:jc w:val="center"/>
        <w:rPr>
          <w:rFonts w:ascii="Times New Roman" w:hAnsi="Times New Roman" w:cs="Times New Roman"/>
        </w:rPr>
      </w:pPr>
      <w:r>
        <w:rPr>
          <w:rFonts w:ascii="Times New Roman" w:hAnsi="Times New Roman" w:cs="Times New Roman"/>
        </w:rPr>
        <w:t>Febr</w:t>
      </w:r>
      <w:r w:rsidR="004F1D7B">
        <w:rPr>
          <w:rFonts w:ascii="Times New Roman" w:hAnsi="Times New Roman" w:cs="Times New Roman"/>
        </w:rPr>
        <w:t>uary,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F81811">
        <w:rPr>
          <w:rFonts w:ascii="Times New Roman" w:hAnsi="Times New Roman" w:cs="Times New Roman"/>
        </w:rPr>
        <w:t>g Group (OWG) met on January 28, 2013</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C609A4" w:rsidP="00A0788C">
      <w:pPr>
        <w:spacing w:after="0"/>
        <w:rPr>
          <w:rFonts w:ascii="Times New Roman" w:hAnsi="Times New Roman" w:cs="Times New Roman"/>
          <w:b/>
          <w:sz w:val="24"/>
        </w:rPr>
      </w:pPr>
      <w:r>
        <w:rPr>
          <w:rFonts w:ascii="Times New Roman" w:hAnsi="Times New Roman" w:cs="Times New Roman"/>
          <w:b/>
          <w:sz w:val="24"/>
        </w:rPr>
        <w:t>October</w:t>
      </w:r>
      <w:r w:rsidR="00DC08A7" w:rsidRPr="009B6AA6">
        <w:rPr>
          <w:rFonts w:ascii="Times New Roman" w:hAnsi="Times New Roman" w:cs="Times New Roman"/>
          <w:b/>
          <w:sz w:val="24"/>
        </w:rPr>
        <w:t xml:space="preserve"> OWG Meeting Minutes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F81811">
        <w:rPr>
          <w:rFonts w:ascii="Times New Roman" w:hAnsi="Times New Roman" w:cs="Times New Roman"/>
        </w:rPr>
        <w:t>viewed and approved the Dec</w:t>
      </w:r>
      <w:r w:rsidR="004F1D7B">
        <w:rPr>
          <w:rFonts w:ascii="Times New Roman" w:hAnsi="Times New Roman" w:cs="Times New Roman"/>
        </w:rPr>
        <w:t>ember</w:t>
      </w:r>
      <w:r w:rsidR="00F81811">
        <w:rPr>
          <w:rFonts w:ascii="Times New Roman" w:hAnsi="Times New Roman" w:cs="Times New Roman"/>
        </w:rPr>
        <w:t xml:space="preserve"> 2012</w:t>
      </w:r>
      <w:r w:rsidR="004F1D7B">
        <w:rPr>
          <w:rFonts w:ascii="Times New Roman" w:hAnsi="Times New Roman" w:cs="Times New Roman"/>
        </w:rPr>
        <w:t xml:space="preserve"> meeting notes</w:t>
      </w:r>
      <w:r w:rsidR="0098702E">
        <w:rPr>
          <w:rFonts w:ascii="Times New Roman" w:hAnsi="Times New Roman" w:cs="Times New Roman"/>
        </w:rPr>
        <w:t xml:space="preserve"> with one correction</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bookmarkStart w:id="0" w:name="_GoBack"/>
      <w:bookmarkEnd w:id="0"/>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13F5C" w:rsidRPr="009B6AA6" w:rsidTr="00513F5C">
        <w:tc>
          <w:tcPr>
            <w:tcW w:w="6390" w:type="dxa"/>
          </w:tcPr>
          <w:p w:rsidR="00513F5C" w:rsidRPr="009B6AA6" w:rsidRDefault="00513F5C" w:rsidP="00513F5C">
            <w:pPr>
              <w:jc w:val="center"/>
              <w:rPr>
                <w:rFonts w:ascii="Times New Roman" w:hAnsi="Times New Roman" w:cs="Times New Roman"/>
                <w:b/>
                <w:color w:val="00B050"/>
              </w:rPr>
            </w:pPr>
            <w:r>
              <w:rPr>
                <w:rFonts w:ascii="Times New Roman" w:hAnsi="Times New Roman" w:cs="Times New Roman"/>
                <w:b/>
                <w:color w:val="00B050"/>
              </w:rPr>
              <w:t>104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21A816EF" wp14:editId="488489A5">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513F5C">
        <w:tc>
          <w:tcPr>
            <w:tcW w:w="6390" w:type="dxa"/>
          </w:tcPr>
          <w:p w:rsidR="00513F5C" w:rsidRPr="003600B6" w:rsidRDefault="00513F5C" w:rsidP="00513F5C">
            <w:pPr>
              <w:jc w:val="center"/>
              <w:rPr>
                <w:rFonts w:ascii="Times New Roman" w:hAnsi="Times New Roman" w:cs="Times New Roman"/>
                <w:b/>
              </w:rPr>
            </w:pPr>
            <w:r w:rsidRPr="00FF4E24">
              <w:rPr>
                <w:rFonts w:cs="Calibri"/>
                <w:b/>
              </w:rPr>
              <w:t>Removal of Transmission Operator Definition from the Nodal Operating Guide</w:t>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F81811">
              <w:rPr>
                <w:rFonts w:ascii="Times New Roman" w:hAnsi="Times New Roman" w:cs="Times New Roman"/>
                <w:color w:val="00B050"/>
              </w:rPr>
              <w:t>OWG agreed to Table till Febr</w:t>
            </w:r>
            <w:r>
              <w:rPr>
                <w:rFonts w:ascii="Times New Roman" w:hAnsi="Times New Roman" w:cs="Times New Roman"/>
                <w:color w:val="00B050"/>
              </w:rPr>
              <w:t>uary</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1FA148F9" wp14:editId="09793D9F">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rPr>
              <w:t>Discussion:</w:t>
            </w:r>
          </w:p>
          <w:p w:rsidR="00513F5C" w:rsidRPr="00802C8A" w:rsidRDefault="00513F5C" w:rsidP="00513F5C">
            <w:pPr>
              <w:pStyle w:val="ListParagraph"/>
            </w:pPr>
            <w:r w:rsidRPr="00802C8A">
              <w:t>This NOGRR proposes deleting the definition of Transmission Operator from the Nodal Operating Guides.</w:t>
            </w:r>
          </w:p>
          <w:p w:rsidR="00513F5C" w:rsidRPr="00802C8A" w:rsidRDefault="00513F5C" w:rsidP="00513F5C">
            <w:pPr>
              <w:pStyle w:val="ListParagraph"/>
            </w:pPr>
            <w:r w:rsidRPr="00802C8A">
              <w:t>ERCOT owes comments on this NOGRR to PRS by December. ERCOT proposed to table the NOGRR.</w:t>
            </w:r>
          </w:p>
          <w:p w:rsidR="00513F5C" w:rsidRPr="00802C8A" w:rsidRDefault="00513F5C" w:rsidP="00513F5C">
            <w:pPr>
              <w:pStyle w:val="ListParagraph"/>
            </w:pPr>
          </w:p>
          <w:p w:rsidR="00513F5C" w:rsidRDefault="00513F5C" w:rsidP="00C63FD8">
            <w:pPr>
              <w:pStyle w:val="ListParagraph"/>
              <w:rPr>
                <w:rFonts w:ascii="Times New Roman" w:hAnsi="Times New Roman" w:cs="Times New Roman"/>
              </w:rPr>
            </w:pPr>
            <w:r w:rsidRPr="00802C8A">
              <w:t>OWG ag</w:t>
            </w:r>
            <w:r w:rsidR="00C63FD8">
              <w:t>reed to table NOGRR 104 till Febr</w:t>
            </w:r>
            <w:r w:rsidRPr="00802C8A">
              <w:t>uary</w:t>
            </w:r>
          </w:p>
          <w:p w:rsidR="00513F5C" w:rsidRDefault="00513F5C" w:rsidP="00513F5C">
            <w:pPr>
              <w:jc w:val="center"/>
              <w:rPr>
                <w:rFonts w:ascii="Times New Roman" w:hAnsi="Times New Roman" w:cs="Times New Roman"/>
              </w:rPr>
            </w:pPr>
          </w:p>
          <w:p w:rsidR="00513F5C" w:rsidRPr="009B6AA6" w:rsidRDefault="00513F5C" w:rsidP="00513F5C">
            <w:pPr>
              <w:jc w:val="center"/>
              <w:rPr>
                <w:rFonts w:ascii="Times New Roman" w:hAnsi="Times New Roman" w:cs="Times New Roman"/>
              </w:rPr>
            </w:pPr>
          </w:p>
        </w:tc>
      </w:tr>
      <w:tr w:rsidR="00802C8A" w:rsidRPr="00802C8A" w:rsidTr="00513F5C">
        <w:tc>
          <w:tcPr>
            <w:tcW w:w="6390" w:type="dxa"/>
            <w:shd w:val="clear" w:color="auto" w:fill="000000" w:themeFill="text1"/>
          </w:tcPr>
          <w:p w:rsidR="00802C8A" w:rsidRPr="00802C8A" w:rsidRDefault="00F81811" w:rsidP="00802C8A">
            <w:pPr>
              <w:spacing w:line="276" w:lineRule="auto"/>
              <w:jc w:val="center"/>
              <w:rPr>
                <w:rFonts w:ascii="Times New Roman" w:hAnsi="Times New Roman" w:cs="Times New Roman"/>
                <w:b/>
              </w:rPr>
            </w:pPr>
            <w:r>
              <w:rPr>
                <w:rFonts w:ascii="Times New Roman" w:hAnsi="Times New Roman" w:cs="Times New Roman"/>
                <w:b/>
                <w:color w:val="00B050"/>
              </w:rPr>
              <w:t>107</w:t>
            </w:r>
            <w:r w:rsidR="00802C8A" w:rsidRPr="001316EC">
              <w:rPr>
                <w:rFonts w:ascii="Times New Roman" w:hAnsi="Times New Roman" w:cs="Times New Roman"/>
                <w:b/>
                <w:color w:val="00B050"/>
              </w:rPr>
              <w:t>NOGRR</w:t>
            </w:r>
            <w:r w:rsidR="00802C8A" w:rsidRPr="00802C8A">
              <w:rPr>
                <w:rFonts w:ascii="Times New Roman" w:hAnsi="Times New Roman" w:cs="Times New Roman"/>
                <w:b/>
              </w:rPr>
              <w:t xml:space="preserve"> </w:t>
            </w:r>
            <w:r w:rsidR="00802C8A" w:rsidRPr="00802C8A">
              <w:rPr>
                <w:rFonts w:ascii="Times New Roman" w:hAnsi="Times New Roman" w:cs="Times New Roman"/>
                <w:b/>
                <w:noProof/>
              </w:rPr>
              <w:drawing>
                <wp:inline distT="0" distB="0" distL="0" distR="0" wp14:anchorId="0B3DA2FB" wp14:editId="56A21CB9">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02C8A" w:rsidRPr="00802C8A" w:rsidTr="00513F5C">
        <w:tc>
          <w:tcPr>
            <w:tcW w:w="6390" w:type="dxa"/>
          </w:tcPr>
          <w:p w:rsidR="00802C8A" w:rsidRPr="00802C8A" w:rsidRDefault="00802C8A" w:rsidP="00802C8A">
            <w:pPr>
              <w:spacing w:line="276" w:lineRule="auto"/>
              <w:jc w:val="center"/>
              <w:rPr>
                <w:rFonts w:ascii="Times New Roman" w:hAnsi="Times New Roman" w:cs="Times New Roman"/>
                <w:b/>
              </w:rPr>
            </w:pPr>
            <w:r w:rsidRPr="00802C8A">
              <w:rPr>
                <w:rFonts w:ascii="Times New Roman" w:hAnsi="Times New Roman" w:cs="Times New Roman"/>
                <w:b/>
              </w:rPr>
              <w:t>Delegation of Firm Load Shedding Responsibility</w:t>
            </w:r>
          </w:p>
        </w:tc>
      </w:tr>
      <w:tr w:rsidR="00F81811" w:rsidRPr="00802C8A" w:rsidTr="00513F5C">
        <w:tc>
          <w:tcPr>
            <w:tcW w:w="6390" w:type="dxa"/>
          </w:tcPr>
          <w:p w:rsidR="00F81811" w:rsidRPr="009B6AA6" w:rsidRDefault="00F81811" w:rsidP="00DF7924">
            <w:pPr>
              <w:jc w:val="center"/>
              <w:rPr>
                <w:rFonts w:ascii="Times New Roman" w:hAnsi="Times New Roman" w:cs="Times New Roman"/>
                <w:b/>
              </w:rPr>
            </w:pPr>
            <w:r w:rsidRPr="00C30A3D">
              <w:rPr>
                <w:b/>
              </w:rPr>
              <w:t>Disturbance Monitoring Requirements Clarification</w:t>
            </w:r>
          </w:p>
        </w:tc>
      </w:tr>
      <w:tr w:rsidR="00F81811" w:rsidRPr="00802C8A" w:rsidTr="00513F5C">
        <w:tc>
          <w:tcPr>
            <w:tcW w:w="6390" w:type="dxa"/>
          </w:tcPr>
          <w:p w:rsidR="00F81811" w:rsidRPr="009B6AA6" w:rsidRDefault="00F81811" w:rsidP="00DF7924">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F81811" w:rsidRPr="00802C8A" w:rsidTr="00513F5C">
        <w:tc>
          <w:tcPr>
            <w:tcW w:w="6390" w:type="dxa"/>
          </w:tcPr>
          <w:p w:rsidR="00F81811" w:rsidRPr="009B6AA6" w:rsidRDefault="00F81811" w:rsidP="00DF7924">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Pr="00A41FB0">
              <w:rPr>
                <w:rFonts w:ascii="Times New Roman" w:hAnsi="Times New Roman" w:cs="Times New Roman"/>
                <w:color w:val="00B050"/>
              </w:rPr>
              <w:t>OWG Recommends</w:t>
            </w:r>
            <w:r w:rsidR="00341694">
              <w:rPr>
                <w:rFonts w:ascii="Times New Roman" w:hAnsi="Times New Roman" w:cs="Times New Roman"/>
                <w:color w:val="00B050"/>
              </w:rPr>
              <w:t xml:space="preserve"> for ROS Approval</w:t>
            </w:r>
            <w:r w:rsidRPr="009B6AA6">
              <w:rPr>
                <w:rFonts w:ascii="Times New Roman" w:hAnsi="Times New Roman" w:cs="Times New Roman"/>
                <w:noProof/>
                <w:color w:val="00B050"/>
              </w:rPr>
              <w:drawing>
                <wp:inline distT="0" distB="0" distL="0" distR="0" wp14:anchorId="7B8220D7" wp14:editId="4A32D90F">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F81811" w:rsidRPr="00802C8A" w:rsidTr="00513F5C">
        <w:tc>
          <w:tcPr>
            <w:tcW w:w="6390" w:type="dxa"/>
          </w:tcPr>
          <w:p w:rsidR="00F81811" w:rsidRDefault="00F81811" w:rsidP="00DF7924">
            <w:pPr>
              <w:jc w:val="center"/>
              <w:rPr>
                <w:rFonts w:ascii="Times New Roman" w:hAnsi="Times New Roman" w:cs="Times New Roman"/>
              </w:rPr>
            </w:pPr>
            <w:r w:rsidRPr="009B6AA6">
              <w:rPr>
                <w:rFonts w:ascii="Times New Roman" w:hAnsi="Times New Roman" w:cs="Times New Roman"/>
              </w:rPr>
              <w:t>Discussion:</w:t>
            </w:r>
          </w:p>
          <w:p w:rsidR="00F81811" w:rsidRDefault="00F81811" w:rsidP="00DF7924">
            <w:pPr>
              <w:pStyle w:val="ListParagraph"/>
              <w:rPr>
                <w:rFonts w:cs="Arial"/>
              </w:rPr>
            </w:pPr>
            <w:r w:rsidRPr="00C30A3D">
              <w:rPr>
                <w:rFonts w:cs="Arial"/>
              </w:rPr>
              <w:t>This NOGRR clarifies disturbance monitoring requirements.</w:t>
            </w:r>
          </w:p>
          <w:p w:rsidR="00F81811" w:rsidRPr="009B6AA6" w:rsidRDefault="00F81811" w:rsidP="00DF7924">
            <w:pPr>
              <w:pStyle w:val="ListParagraph"/>
              <w:rPr>
                <w:rFonts w:ascii="Times New Roman" w:hAnsi="Times New Roman" w:cs="Times New Roman"/>
              </w:rPr>
            </w:pPr>
            <w:r>
              <w:rPr>
                <w:rFonts w:cs="Arial"/>
              </w:rPr>
              <w:t>Kris from LCRA made some edits (clarifications) SPWG</w:t>
            </w:r>
          </w:p>
          <w:p w:rsidR="00F81811" w:rsidRPr="009B6AA6" w:rsidRDefault="00F81811" w:rsidP="00DF7924">
            <w:pPr>
              <w:pStyle w:val="ListParagraph"/>
              <w:rPr>
                <w:rFonts w:ascii="Times New Roman" w:hAnsi="Times New Roman" w:cs="Times New Roman"/>
              </w:rPr>
            </w:pPr>
          </w:p>
        </w:tc>
      </w:tr>
    </w:tbl>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FB572B" w:rsidRPr="00FB572B" w:rsidTr="00C63FD8">
        <w:trPr>
          <w:trHeight w:val="207"/>
        </w:trPr>
        <w:tc>
          <w:tcPr>
            <w:tcW w:w="6390" w:type="dxa"/>
            <w:shd w:val="clear" w:color="auto" w:fill="000000" w:themeFill="text1"/>
          </w:tcPr>
          <w:p w:rsidR="00FB572B" w:rsidRPr="00FB572B" w:rsidRDefault="00341694" w:rsidP="00FB572B">
            <w:pPr>
              <w:spacing w:line="276" w:lineRule="auto"/>
              <w:jc w:val="center"/>
              <w:rPr>
                <w:rFonts w:ascii="Times New Roman" w:hAnsi="Times New Roman" w:cs="Times New Roman"/>
                <w:b/>
              </w:rPr>
            </w:pPr>
            <w:r>
              <w:rPr>
                <w:rFonts w:ascii="Times New Roman" w:hAnsi="Times New Roman" w:cs="Times New Roman"/>
                <w:b/>
                <w:color w:val="00B050"/>
              </w:rPr>
              <w:t>108</w:t>
            </w:r>
            <w:r w:rsidR="00FB572B" w:rsidRPr="001316EC">
              <w:rPr>
                <w:rFonts w:ascii="Times New Roman" w:hAnsi="Times New Roman" w:cs="Times New Roman"/>
                <w:b/>
                <w:color w:val="00B050"/>
              </w:rPr>
              <w:t>NOGRR</w:t>
            </w:r>
            <w:r w:rsidR="00FB572B" w:rsidRPr="00FB572B">
              <w:rPr>
                <w:rFonts w:ascii="Times New Roman" w:hAnsi="Times New Roman" w:cs="Times New Roman"/>
                <w:b/>
              </w:rPr>
              <w:t xml:space="preserve"> </w:t>
            </w:r>
            <w:r w:rsidR="00FB572B" w:rsidRPr="00FB572B">
              <w:rPr>
                <w:rFonts w:ascii="Times New Roman" w:hAnsi="Times New Roman" w:cs="Times New Roman"/>
                <w:b/>
                <w:noProof/>
              </w:rPr>
              <w:drawing>
                <wp:inline distT="0" distB="0" distL="0" distR="0" wp14:anchorId="3EA7FB04" wp14:editId="4D558C6A">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341694" w:rsidRPr="00FB572B" w:rsidTr="00C63FD8">
        <w:trPr>
          <w:trHeight w:val="217"/>
        </w:trPr>
        <w:tc>
          <w:tcPr>
            <w:tcW w:w="6390" w:type="dxa"/>
          </w:tcPr>
          <w:p w:rsidR="00341694" w:rsidRPr="00FB572B" w:rsidRDefault="00341694" w:rsidP="00DF7924">
            <w:pPr>
              <w:spacing w:line="276" w:lineRule="auto"/>
              <w:jc w:val="center"/>
              <w:rPr>
                <w:rFonts w:ascii="Times New Roman" w:hAnsi="Times New Roman" w:cs="Times New Roman"/>
                <w:b/>
              </w:rPr>
            </w:pPr>
            <w:r>
              <w:rPr>
                <w:rFonts w:ascii="Times New Roman" w:hAnsi="Times New Roman" w:cs="Times New Roman"/>
                <w:b/>
              </w:rPr>
              <w:t>QSE and TSP Hotline responsibilities</w:t>
            </w:r>
          </w:p>
        </w:tc>
      </w:tr>
      <w:tr w:rsidR="00341694" w:rsidRPr="00FB572B" w:rsidTr="00C63FD8">
        <w:trPr>
          <w:trHeight w:val="207"/>
        </w:trPr>
        <w:tc>
          <w:tcPr>
            <w:tcW w:w="6390" w:type="dxa"/>
          </w:tcPr>
          <w:p w:rsidR="00341694" w:rsidRPr="00FB572B" w:rsidRDefault="00341694" w:rsidP="00DF7924">
            <w:pPr>
              <w:spacing w:line="276" w:lineRule="auto"/>
              <w:jc w:val="center"/>
              <w:rPr>
                <w:rFonts w:ascii="Times New Roman" w:hAnsi="Times New Roman" w:cs="Times New Roman"/>
              </w:rPr>
            </w:pPr>
            <w:r w:rsidRPr="00FB572B">
              <w:rPr>
                <w:rFonts w:ascii="Times New Roman" w:hAnsi="Times New Roman" w:cs="Times New Roman"/>
              </w:rPr>
              <w:t>Language Review</w:t>
            </w:r>
          </w:p>
        </w:tc>
      </w:tr>
      <w:tr w:rsidR="00341694" w:rsidRPr="00FB572B" w:rsidTr="00C63FD8">
        <w:trPr>
          <w:trHeight w:val="217"/>
        </w:trPr>
        <w:tc>
          <w:tcPr>
            <w:tcW w:w="6390" w:type="dxa"/>
          </w:tcPr>
          <w:p w:rsidR="00341694" w:rsidRPr="00FB572B" w:rsidRDefault="00341694" w:rsidP="00DF7924">
            <w:pPr>
              <w:spacing w:line="276" w:lineRule="auto"/>
              <w:jc w:val="center"/>
              <w:rPr>
                <w:rFonts w:ascii="Times New Roman" w:hAnsi="Times New Roman" w:cs="Times New Roman"/>
              </w:rPr>
            </w:pPr>
            <w:r w:rsidRPr="00FB572B">
              <w:rPr>
                <w:rFonts w:ascii="Times New Roman" w:hAnsi="Times New Roman" w:cs="Times New Roman"/>
                <w:b/>
              </w:rPr>
              <w:t>OWG Action</w:t>
            </w:r>
            <w:r w:rsidRPr="00FB572B">
              <w:rPr>
                <w:rFonts w:ascii="Times New Roman" w:hAnsi="Times New Roman" w:cs="Times New Roman"/>
              </w:rPr>
              <w:t xml:space="preserve">:  </w:t>
            </w:r>
            <w:r w:rsidRPr="001316EC">
              <w:rPr>
                <w:rFonts w:ascii="Times New Roman" w:hAnsi="Times New Roman" w:cs="Times New Roman"/>
                <w:color w:val="00B050"/>
              </w:rPr>
              <w:t>OWG R</w:t>
            </w:r>
            <w:r w:rsidR="00C63FD8">
              <w:rPr>
                <w:rFonts w:ascii="Times New Roman" w:hAnsi="Times New Roman" w:cs="Times New Roman"/>
                <w:color w:val="00B050"/>
              </w:rPr>
              <w:t>ecommends for ROS Approval</w:t>
            </w:r>
            <w:r w:rsidRPr="00FB572B">
              <w:rPr>
                <w:rFonts w:ascii="Times New Roman" w:hAnsi="Times New Roman" w:cs="Times New Roman"/>
                <w:noProof/>
              </w:rPr>
              <w:drawing>
                <wp:inline distT="0" distB="0" distL="0" distR="0" wp14:anchorId="29AA6504" wp14:editId="08F200A1">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341694" w:rsidRPr="00FB572B" w:rsidTr="00C63FD8">
        <w:trPr>
          <w:trHeight w:val="1328"/>
        </w:trPr>
        <w:tc>
          <w:tcPr>
            <w:tcW w:w="6390" w:type="dxa"/>
          </w:tcPr>
          <w:p w:rsidR="00341694" w:rsidRPr="00FB572B" w:rsidRDefault="00341694" w:rsidP="00DF7924">
            <w:pPr>
              <w:spacing w:line="276" w:lineRule="auto"/>
              <w:rPr>
                <w:rFonts w:ascii="Times New Roman" w:hAnsi="Times New Roman" w:cs="Times New Roman"/>
              </w:rPr>
            </w:pPr>
            <w:r w:rsidRPr="00FB572B">
              <w:rPr>
                <w:rFonts w:ascii="Times New Roman" w:hAnsi="Times New Roman" w:cs="Times New Roman"/>
              </w:rPr>
              <w:t>Discussion:</w:t>
            </w:r>
          </w:p>
          <w:p w:rsidR="00341694" w:rsidRPr="00341694" w:rsidRDefault="00341694" w:rsidP="00341694">
            <w:pPr>
              <w:rPr>
                <w:rFonts w:ascii="Times New Roman" w:hAnsi="Times New Roman" w:cs="Times New Roman"/>
              </w:rPr>
            </w:pPr>
            <w:r w:rsidRPr="00341694">
              <w:rPr>
                <w:rFonts w:ascii="Times New Roman" w:hAnsi="Times New Roman" w:cs="Times New Roman"/>
              </w:rPr>
              <w:t>This NOGRR adds the requirement for Qualified Scheduling Entities (QSEs) and Transmission Operators (TOs) to have a touchtone keypad on their Hotline phone.</w:t>
            </w:r>
          </w:p>
          <w:p w:rsidR="00341694" w:rsidRPr="00341694" w:rsidRDefault="00341694" w:rsidP="00341694">
            <w:pPr>
              <w:rPr>
                <w:rFonts w:ascii="Times New Roman" w:hAnsi="Times New Roman" w:cs="Times New Roman"/>
              </w:rPr>
            </w:pPr>
            <w:r w:rsidRPr="00341694">
              <w:rPr>
                <w:rFonts w:ascii="Times New Roman" w:hAnsi="Times New Roman" w:cs="Times New Roman"/>
              </w:rPr>
              <w:t>ERCOT Impact analysis showed no Impact.</w:t>
            </w:r>
          </w:p>
          <w:p w:rsidR="00341694" w:rsidRDefault="00341694" w:rsidP="00341694">
            <w:pPr>
              <w:rPr>
                <w:rFonts w:ascii="Times New Roman" w:hAnsi="Times New Roman" w:cs="Times New Roman"/>
              </w:rPr>
            </w:pPr>
            <w:r w:rsidRPr="00341694">
              <w:rPr>
                <w:rFonts w:ascii="Times New Roman" w:hAnsi="Times New Roman" w:cs="Times New Roman"/>
              </w:rPr>
              <w:t>OWG agreed to move it to ROS with recommendation to approve.</w:t>
            </w:r>
          </w:p>
          <w:p w:rsidR="00C63FD8" w:rsidRPr="00341694" w:rsidRDefault="00C63FD8" w:rsidP="00341694">
            <w:pPr>
              <w:rPr>
                <w:rFonts w:ascii="Times New Roman" w:hAnsi="Times New Roman" w:cs="Times New Roman"/>
              </w:rPr>
            </w:pPr>
          </w:p>
        </w:tc>
      </w:tr>
      <w:tr w:rsidR="00341694" w:rsidRPr="009B6AA6" w:rsidTr="00C63FD8">
        <w:trPr>
          <w:trHeight w:val="179"/>
        </w:trPr>
        <w:tc>
          <w:tcPr>
            <w:tcW w:w="6390" w:type="dxa"/>
            <w:shd w:val="clear" w:color="auto" w:fill="000000" w:themeFill="text1"/>
          </w:tcPr>
          <w:p w:rsidR="00341694" w:rsidRPr="009B6AA6" w:rsidRDefault="00341694" w:rsidP="00804146">
            <w:pPr>
              <w:jc w:val="center"/>
              <w:rPr>
                <w:rFonts w:ascii="Times New Roman" w:hAnsi="Times New Roman" w:cs="Times New Roman"/>
                <w:b/>
                <w:color w:val="00B050"/>
              </w:rPr>
            </w:pPr>
          </w:p>
        </w:tc>
      </w:tr>
      <w:tr w:rsidR="00341694" w:rsidRPr="009B6AA6" w:rsidTr="00C63FD8">
        <w:trPr>
          <w:trHeight w:val="188"/>
        </w:trPr>
        <w:tc>
          <w:tcPr>
            <w:tcW w:w="6390" w:type="dxa"/>
          </w:tcPr>
          <w:p w:rsidR="00341694" w:rsidRPr="009B6AA6" w:rsidRDefault="00341694" w:rsidP="00804146">
            <w:pPr>
              <w:jc w:val="center"/>
              <w:rPr>
                <w:rFonts w:ascii="Times New Roman" w:hAnsi="Times New Roman" w:cs="Times New Roman"/>
                <w:b/>
              </w:rPr>
            </w:pPr>
          </w:p>
        </w:tc>
      </w:tr>
      <w:tr w:rsidR="00341694" w:rsidRPr="009B6AA6" w:rsidTr="00C63FD8">
        <w:trPr>
          <w:trHeight w:val="179"/>
        </w:trPr>
        <w:tc>
          <w:tcPr>
            <w:tcW w:w="6390" w:type="dxa"/>
          </w:tcPr>
          <w:p w:rsidR="00341694" w:rsidRPr="009B6AA6" w:rsidRDefault="00341694" w:rsidP="00804146">
            <w:pPr>
              <w:jc w:val="center"/>
              <w:rPr>
                <w:rFonts w:ascii="Times New Roman" w:hAnsi="Times New Roman" w:cs="Times New Roman"/>
              </w:rPr>
            </w:pPr>
          </w:p>
        </w:tc>
      </w:tr>
      <w:tr w:rsidR="00341694" w:rsidRPr="009B6AA6" w:rsidTr="00C63FD8">
        <w:trPr>
          <w:trHeight w:val="188"/>
        </w:trPr>
        <w:tc>
          <w:tcPr>
            <w:tcW w:w="6390" w:type="dxa"/>
          </w:tcPr>
          <w:p w:rsidR="00341694" w:rsidRPr="009B6AA6" w:rsidRDefault="00341694" w:rsidP="00804146">
            <w:pPr>
              <w:jc w:val="center"/>
              <w:rPr>
                <w:rFonts w:ascii="Times New Roman" w:hAnsi="Times New Roman" w:cs="Times New Roman"/>
              </w:rPr>
            </w:pPr>
          </w:p>
        </w:tc>
      </w:tr>
      <w:tr w:rsidR="00341694" w:rsidRPr="009B6AA6" w:rsidTr="00C63FD8">
        <w:trPr>
          <w:trHeight w:val="179"/>
        </w:trPr>
        <w:tc>
          <w:tcPr>
            <w:tcW w:w="6390" w:type="dxa"/>
          </w:tcPr>
          <w:p w:rsidR="00341694" w:rsidRPr="009B6AA6" w:rsidRDefault="00341694" w:rsidP="00804146">
            <w:pPr>
              <w:pStyle w:val="ListParagraph"/>
              <w:rPr>
                <w:rFonts w:ascii="Times New Roman" w:hAnsi="Times New Roman" w:cs="Times New Roman"/>
              </w:rPr>
            </w:pPr>
          </w:p>
        </w:tc>
      </w:tr>
      <w:tr w:rsidR="00341694" w:rsidRPr="00FB572B" w:rsidTr="00C63FD8">
        <w:trPr>
          <w:trHeight w:val="217"/>
        </w:trPr>
        <w:tc>
          <w:tcPr>
            <w:tcW w:w="6390" w:type="dxa"/>
            <w:shd w:val="clear" w:color="auto" w:fill="000000" w:themeFill="text1"/>
          </w:tcPr>
          <w:p w:rsidR="00341694" w:rsidRPr="00FB572B" w:rsidRDefault="00341694" w:rsidP="00A41FB0">
            <w:pPr>
              <w:spacing w:line="276" w:lineRule="auto"/>
              <w:jc w:val="center"/>
              <w:rPr>
                <w:rFonts w:ascii="Times New Roman" w:hAnsi="Times New Roman" w:cs="Times New Roman"/>
                <w:b/>
              </w:rPr>
            </w:pPr>
          </w:p>
        </w:tc>
      </w:tr>
      <w:tr w:rsidR="00341694" w:rsidRPr="00FB572B" w:rsidTr="00C63FD8">
        <w:trPr>
          <w:trHeight w:val="207"/>
        </w:trPr>
        <w:tc>
          <w:tcPr>
            <w:tcW w:w="6390" w:type="dxa"/>
          </w:tcPr>
          <w:p w:rsidR="00341694" w:rsidRPr="00FB572B" w:rsidRDefault="00341694" w:rsidP="00A41FB0">
            <w:pPr>
              <w:spacing w:line="276" w:lineRule="auto"/>
              <w:jc w:val="center"/>
              <w:rPr>
                <w:rFonts w:ascii="Times New Roman" w:hAnsi="Times New Roman" w:cs="Times New Roman"/>
                <w:b/>
              </w:rPr>
            </w:pPr>
          </w:p>
        </w:tc>
      </w:tr>
      <w:tr w:rsidR="00341694" w:rsidRPr="00FB572B" w:rsidTr="00C63FD8">
        <w:trPr>
          <w:trHeight w:val="207"/>
        </w:trPr>
        <w:tc>
          <w:tcPr>
            <w:tcW w:w="6390" w:type="dxa"/>
          </w:tcPr>
          <w:p w:rsidR="00341694" w:rsidRPr="00FB572B" w:rsidRDefault="00341694" w:rsidP="00A41FB0">
            <w:pPr>
              <w:spacing w:line="276" w:lineRule="auto"/>
              <w:jc w:val="center"/>
              <w:rPr>
                <w:rFonts w:ascii="Times New Roman" w:hAnsi="Times New Roman" w:cs="Times New Roman"/>
              </w:rPr>
            </w:pPr>
          </w:p>
        </w:tc>
      </w:tr>
      <w:tr w:rsidR="00341694" w:rsidRPr="00FB572B" w:rsidTr="00C63FD8">
        <w:trPr>
          <w:trHeight w:val="217"/>
        </w:trPr>
        <w:tc>
          <w:tcPr>
            <w:tcW w:w="6390" w:type="dxa"/>
          </w:tcPr>
          <w:p w:rsidR="00341694" w:rsidRPr="00FB572B" w:rsidRDefault="00341694" w:rsidP="00A41FB0">
            <w:pPr>
              <w:spacing w:line="276" w:lineRule="auto"/>
              <w:jc w:val="center"/>
              <w:rPr>
                <w:rFonts w:ascii="Times New Roman" w:hAnsi="Times New Roman" w:cs="Times New Roman"/>
              </w:rPr>
            </w:pPr>
          </w:p>
        </w:tc>
      </w:tr>
      <w:tr w:rsidR="00341694" w:rsidRPr="00FB572B" w:rsidTr="00C63FD8">
        <w:trPr>
          <w:trHeight w:val="188"/>
        </w:trPr>
        <w:tc>
          <w:tcPr>
            <w:tcW w:w="6390" w:type="dxa"/>
          </w:tcPr>
          <w:p w:rsidR="00341694" w:rsidRPr="00341694" w:rsidRDefault="00341694" w:rsidP="00341694">
            <w:pPr>
              <w:rPr>
                <w:rFonts w:ascii="Times New Roman" w:hAnsi="Times New Roman" w:cs="Times New Roman"/>
              </w:rPr>
            </w:pP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AB0D6A" w:rsidRPr="009B6AA6" w:rsidRDefault="00AB0D6A" w:rsidP="002E06C9">
      <w:pPr>
        <w:pStyle w:val="ListParagraph"/>
        <w:numPr>
          <w:ilvl w:val="0"/>
          <w:numId w:val="10"/>
        </w:numPr>
        <w:spacing w:after="0"/>
        <w:rPr>
          <w:rFonts w:ascii="Times New Roman" w:hAnsi="Times New Roman" w:cs="Times New Roman"/>
        </w:rPr>
      </w:pPr>
      <w:r w:rsidRPr="00AB0D6A">
        <w:rPr>
          <w:rFonts w:ascii="Times New Roman" w:hAnsi="Times New Roman" w:cs="Times New Roman"/>
          <w:sz w:val="24"/>
        </w:rPr>
        <w:t>VJ</w:t>
      </w:r>
      <w:r w:rsidRPr="00AB0D6A">
        <w:t xml:space="preserve"> </w:t>
      </w:r>
      <w:r>
        <w:rPr>
          <w:rFonts w:ascii="Times New Roman" w:hAnsi="Times New Roman" w:cs="Times New Roman"/>
          <w:sz w:val="24"/>
        </w:rPr>
        <w:t>Betanabhat</w:t>
      </w:r>
      <w:r w:rsidR="006350A2">
        <w:rPr>
          <w:rFonts w:ascii="Times New Roman" w:hAnsi="Times New Roman" w:cs="Times New Roman"/>
          <w:sz w:val="24"/>
        </w:rPr>
        <w:t xml:space="preserve">la gave the Operations Report. </w:t>
      </w:r>
      <w:r w:rsidR="002E06C9" w:rsidRPr="002E06C9">
        <w:rPr>
          <w:rFonts w:ascii="Times New Roman" w:hAnsi="Times New Roman" w:cs="Times New Roman"/>
          <w:sz w:val="24"/>
        </w:rPr>
        <w:t>, no comments or questions were received.</w:t>
      </w: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0B3FF4" w:rsidRPr="000B3FF4" w:rsidRDefault="000B3FF4" w:rsidP="000B3FF4">
      <w:pPr>
        <w:spacing w:after="0"/>
        <w:rPr>
          <w:rFonts w:ascii="Times New Roman" w:hAnsi="Times New Roman" w:cs="Times New Roman"/>
        </w:rPr>
      </w:pPr>
      <w:r w:rsidRPr="000B3FF4">
        <w:rPr>
          <w:rFonts w:ascii="Times New Roman" w:hAnsi="Times New Roman" w:cs="Times New Roman"/>
        </w:rPr>
        <w:t xml:space="preserve">Ross requested that OTF work on a reactive scorecard that shows, who is passing, who is not, who has not tested.  Stan (OTF Chair), agreed to work with ERCOT on that.  </w:t>
      </w:r>
    </w:p>
    <w:p w:rsidR="000B3FF4" w:rsidRPr="000B3FF4" w:rsidRDefault="000B3FF4" w:rsidP="000B3FF4">
      <w:pPr>
        <w:spacing w:after="0"/>
        <w:rPr>
          <w:rFonts w:ascii="Times New Roman" w:hAnsi="Times New Roman" w:cs="Times New Roman"/>
        </w:rPr>
      </w:pPr>
    </w:p>
    <w:p w:rsidR="000B3FF4" w:rsidRPr="000B3FF4" w:rsidRDefault="000B3FF4" w:rsidP="000B3FF4">
      <w:pPr>
        <w:spacing w:after="0"/>
        <w:rPr>
          <w:rFonts w:ascii="Times New Roman" w:hAnsi="Times New Roman" w:cs="Times New Roman"/>
        </w:rPr>
      </w:pPr>
      <w:r w:rsidRPr="000B3FF4">
        <w:rPr>
          <w:rFonts w:ascii="Times New Roman" w:hAnsi="Times New Roman" w:cs="Times New Roman"/>
        </w:rPr>
        <w:t>OTF also has additional action items that were assigned in December:</w:t>
      </w:r>
    </w:p>
    <w:p w:rsidR="000B3FF4" w:rsidRPr="000B3FF4" w:rsidRDefault="000B3FF4" w:rsidP="000B3FF4">
      <w:pPr>
        <w:pStyle w:val="ListParagraph"/>
        <w:numPr>
          <w:ilvl w:val="0"/>
          <w:numId w:val="15"/>
        </w:numPr>
        <w:spacing w:after="0"/>
        <w:rPr>
          <w:rFonts w:ascii="Times New Roman" w:hAnsi="Times New Roman" w:cs="Times New Roman"/>
          <w:b/>
          <w:bCs/>
        </w:rPr>
      </w:pPr>
      <w:r w:rsidRPr="000B3FF4">
        <w:rPr>
          <w:rFonts w:ascii="Times New Roman" w:hAnsi="Times New Roman" w:cs="Times New Roman"/>
        </w:rPr>
        <w:t>David Penny mentioned that language in the Protocols indicates real -time data for reliability purposes must be accurate within 3% percent.  Language in the Operating Guides indicates voltage is to be maintained within 2% of the voltage profile.  These requirements appear to conflict with each other, even though by the hierarchal process, the Protocols supersede the Operating Guides in this case.  Additionally, language in ERCOT’s Steady State Voltage Control Procedure states that transmission voltage should not exceed 105% nor fall below 95% of the nominal voltage during normal operation of the system and that transmission voltage during emergencies (including contingency events) should not exceed equipment over excitation ratings.  OTF is to review the language in the Operating Guides.</w:t>
      </w:r>
    </w:p>
    <w:p w:rsidR="000B3FF4" w:rsidRPr="000B3FF4" w:rsidRDefault="000B3FF4" w:rsidP="000B3FF4">
      <w:pPr>
        <w:spacing w:after="0"/>
        <w:rPr>
          <w:rFonts w:ascii="Times New Roman" w:hAnsi="Times New Roman" w:cs="Times New Roman"/>
        </w:rPr>
      </w:pPr>
    </w:p>
    <w:p w:rsidR="009B2471" w:rsidRPr="000B3FF4" w:rsidRDefault="000B3FF4" w:rsidP="000B3FF4">
      <w:pPr>
        <w:pStyle w:val="ListParagraph"/>
        <w:numPr>
          <w:ilvl w:val="0"/>
          <w:numId w:val="15"/>
        </w:numPr>
        <w:spacing w:after="0"/>
        <w:rPr>
          <w:rFonts w:ascii="Times New Roman" w:hAnsi="Times New Roman" w:cs="Times New Roman"/>
        </w:rPr>
      </w:pPr>
      <w:r w:rsidRPr="000B3FF4">
        <w:rPr>
          <w:rFonts w:ascii="Times New Roman" w:hAnsi="Times New Roman" w:cs="Times New Roman"/>
        </w:rPr>
        <w:t>David Penny mentioned that based on data provided by the TOs, there appeared to be instances during cycling of feeders the TOs were not meeting their load-shed obligation for brief periods of time.  OTF is to review the language in the Operating Guides.</w:t>
      </w:r>
    </w:p>
    <w:p w:rsidR="000B3FF4" w:rsidRDefault="000B3FF4"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AD65B2" w:rsidRDefault="000B3FF4" w:rsidP="00AD65B2">
      <w:pPr>
        <w:pStyle w:val="ListParagraph"/>
        <w:spacing w:after="0"/>
        <w:ind w:left="1080"/>
        <w:rPr>
          <w:rFonts w:ascii="Times New Roman" w:hAnsi="Times New Roman" w:cs="Times New Roman"/>
        </w:rPr>
      </w:pPr>
      <w:r w:rsidRPr="000B3FF4">
        <w:rPr>
          <w:rFonts w:ascii="Times New Roman" w:hAnsi="Times New Roman" w:cs="Times New Roman"/>
        </w:rPr>
        <w:t>Dry run</w:t>
      </w:r>
      <w:r>
        <w:rPr>
          <w:rFonts w:ascii="Times New Roman" w:hAnsi="Times New Roman" w:cs="Times New Roman"/>
        </w:rPr>
        <w:t xml:space="preserve"> of the 2013 Operations training Seminar</w:t>
      </w:r>
      <w:r w:rsidRPr="000B3FF4">
        <w:rPr>
          <w:rFonts w:ascii="Times New Roman" w:hAnsi="Times New Roman" w:cs="Times New Roman"/>
        </w:rPr>
        <w:t xml:space="preserve"> will</w:t>
      </w:r>
      <w:r>
        <w:rPr>
          <w:rFonts w:ascii="Times New Roman" w:hAnsi="Times New Roman" w:cs="Times New Roman"/>
        </w:rPr>
        <w:t xml:space="preserve"> start at</w:t>
      </w:r>
      <w:r w:rsidRPr="000B3FF4">
        <w:rPr>
          <w:rFonts w:ascii="Times New Roman" w:hAnsi="Times New Roman" w:cs="Times New Roman"/>
        </w:rPr>
        <w:t xml:space="preserve"> 1 PM</w:t>
      </w:r>
      <w:r>
        <w:rPr>
          <w:rFonts w:ascii="Times New Roman" w:hAnsi="Times New Roman" w:cs="Times New Roman"/>
        </w:rPr>
        <w:t xml:space="preserve"> today.</w:t>
      </w:r>
    </w:p>
    <w:p w:rsidR="000B3FF4" w:rsidRPr="00AD65B2" w:rsidRDefault="000B3FF4" w:rsidP="00AD65B2">
      <w:pPr>
        <w:pStyle w:val="ListParagraph"/>
        <w:spacing w:after="0"/>
        <w:ind w:left="1080"/>
        <w:rPr>
          <w:rFonts w:ascii="Times New Roman" w:hAnsi="Times New Roman" w:cs="Times New Roman"/>
        </w:rPr>
      </w:pPr>
    </w:p>
    <w:p w:rsidR="00567D9B" w:rsidRDefault="00FB0BBC" w:rsidP="00567D9B">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0F2B8B" w:rsidRPr="009B6AA6">
        <w:rPr>
          <w:rFonts w:ascii="Times New Roman" w:hAnsi="Times New Roman" w:cs="Times New Roman"/>
          <w:b/>
          <w:sz w:val="24"/>
        </w:rPr>
        <w:t xml:space="preserve"> Report – </w:t>
      </w:r>
    </w:p>
    <w:p w:rsidR="00332881" w:rsidRPr="00332881" w:rsidRDefault="00332881" w:rsidP="00332881">
      <w:pPr>
        <w:pStyle w:val="ListParagraph"/>
        <w:ind w:left="1080"/>
      </w:pPr>
      <w:r w:rsidRPr="00332881">
        <w:t xml:space="preserve">Mark mentioned that PRC-004, PRC-024, and PRC-025 are out for comment.  John Warren is working on a draft NPRR to clean up the emergency notification language in the protocols, and Texas RE will work with ERCOT on updating the SW Outage action item list. </w:t>
      </w:r>
    </w:p>
    <w:p w:rsidR="001F34C9" w:rsidRPr="00C61410" w:rsidRDefault="001F34C9" w:rsidP="001F34C9">
      <w:pPr>
        <w:pStyle w:val="ListParagraph"/>
        <w:spacing w:after="0"/>
        <w:rPr>
          <w:rFonts w:ascii="Times New Roman" w:hAnsi="Times New Roman" w:cs="Times New Roman"/>
        </w:rPr>
      </w:pPr>
    </w:p>
    <w:p w:rsidR="00567D9B" w:rsidRPr="00567D9B" w:rsidRDefault="000F2B8B" w:rsidP="00332881">
      <w:pPr>
        <w:spacing w:after="0"/>
        <w:rPr>
          <w:rFonts w:ascii="Times New Roman" w:hAnsi="Times New Roman" w:cs="Times New Roman"/>
        </w:rPr>
      </w:pPr>
      <w:r w:rsidRPr="009B6AA6">
        <w:rPr>
          <w:rFonts w:ascii="Times New Roman" w:hAnsi="Times New Roman" w:cs="Times New Roman"/>
          <w:b/>
          <w:sz w:val="24"/>
        </w:rPr>
        <w:t xml:space="preserve">System Operations Report – </w:t>
      </w:r>
      <w:r w:rsidR="00332881" w:rsidRPr="00332881">
        <w:rPr>
          <w:rFonts w:ascii="Times New Roman" w:hAnsi="Times New Roman" w:cs="Times New Roman"/>
        </w:rPr>
        <w:t>A market notice will be sent out as a reminder that Back-</w:t>
      </w:r>
      <w:r w:rsidR="00332881">
        <w:rPr>
          <w:rFonts w:ascii="Times New Roman" w:hAnsi="Times New Roman" w:cs="Times New Roman"/>
        </w:rPr>
        <w:t>up plans are due March 15, 2013.</w:t>
      </w:r>
    </w:p>
    <w:p w:rsidR="00AD65B2" w:rsidRPr="009B6AA6" w:rsidRDefault="00AD65B2" w:rsidP="00AD65B2">
      <w:pPr>
        <w:spacing w:after="0"/>
        <w:ind w:left="720"/>
        <w:rPr>
          <w:rFonts w:ascii="Times New Roman" w:hAnsi="Times New Roman" w:cs="Times New Roman"/>
        </w:rPr>
      </w:pPr>
    </w:p>
    <w:p w:rsidR="00672302" w:rsidRDefault="00672302" w:rsidP="000F2B8B">
      <w:pPr>
        <w:spacing w:after="0"/>
        <w:rPr>
          <w:rFonts w:ascii="Times New Roman" w:hAnsi="Times New Roman" w:cs="Times New Roman"/>
          <w:b/>
          <w:sz w:val="24"/>
        </w:rPr>
      </w:pPr>
      <w:r w:rsidRPr="009B6AA6">
        <w:rPr>
          <w:rFonts w:ascii="Times New Roman" w:hAnsi="Times New Roman" w:cs="Times New Roman"/>
          <w:b/>
          <w:sz w:val="24"/>
        </w:rPr>
        <w:lastRenderedPageBreak/>
        <w:t xml:space="preserve">Other – </w:t>
      </w:r>
    </w:p>
    <w:p w:rsidR="00CD2EFF" w:rsidRPr="00CD2EFF" w:rsidRDefault="00CD2EFF" w:rsidP="00CD2EFF">
      <w:pPr>
        <w:ind w:left="720"/>
        <w:contextualSpacing/>
        <w:rPr>
          <w:rFonts w:cs="Calibri"/>
        </w:rPr>
      </w:pPr>
      <w:r w:rsidRPr="00CD2EFF">
        <w:rPr>
          <w:rFonts w:cs="Calibri"/>
        </w:rPr>
        <w:t xml:space="preserve">Ross Owen presented results from some voltage reduction tests done by </w:t>
      </w:r>
      <w:proofErr w:type="spellStart"/>
      <w:r w:rsidRPr="00CD2EFF">
        <w:rPr>
          <w:rFonts w:cs="Calibri"/>
        </w:rPr>
        <w:t>Oncor</w:t>
      </w:r>
      <w:proofErr w:type="spellEnd"/>
      <w:r w:rsidRPr="00CD2EFF">
        <w:rPr>
          <w:rFonts w:cs="Calibri"/>
        </w:rPr>
        <w:t xml:space="preserve">. He said eventually VR could be used during EEAs to lower the demand. </w:t>
      </w:r>
      <w:proofErr w:type="gramStart"/>
      <w:r w:rsidRPr="00CD2EFF">
        <w:rPr>
          <w:rFonts w:cs="Calibri"/>
        </w:rPr>
        <w:t>Also mentioned that some TOs already use VR to shave the peak.</w:t>
      </w:r>
      <w:proofErr w:type="gramEnd"/>
    </w:p>
    <w:p w:rsidR="00A5128D" w:rsidRPr="008543AC" w:rsidRDefault="00A5128D" w:rsidP="00AD65B2">
      <w:pPr>
        <w:spacing w:after="0"/>
        <w:ind w:left="720"/>
        <w:rPr>
          <w:rFonts w:ascii="Times New Roman" w:hAnsi="Times New Roman" w:cs="Times New Roman"/>
          <w:sz w:val="24"/>
        </w:rPr>
      </w:pPr>
    </w:p>
    <w:p w:rsidR="00A5128D" w:rsidRPr="008543AC" w:rsidRDefault="00A5128D" w:rsidP="008543AC">
      <w:pPr>
        <w:spacing w:after="0"/>
        <w:ind w:left="72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165E52" w:rsidRPr="00CD2EFF" w:rsidRDefault="00CD2EFF" w:rsidP="00CD2EFF">
      <w:pPr>
        <w:pStyle w:val="ListParagraph"/>
        <w:numPr>
          <w:ilvl w:val="0"/>
          <w:numId w:val="10"/>
        </w:numPr>
        <w:rPr>
          <w:rFonts w:cs="Calibri"/>
        </w:rPr>
      </w:pPr>
      <w:r w:rsidRPr="00CD2EFF">
        <w:rPr>
          <w:rFonts w:cs="Calibri"/>
        </w:rPr>
        <w:t>Wednesday, February 20</w:t>
      </w:r>
      <w:r w:rsidRPr="00CD2EFF">
        <w:rPr>
          <w:rFonts w:cs="Calibri"/>
          <w:vertAlign w:val="superscript"/>
        </w:rPr>
        <w:t>th</w:t>
      </w:r>
      <w:r w:rsidRPr="00CD2EFF">
        <w:rPr>
          <w:rFonts w:cs="Calibri"/>
        </w:rPr>
        <w:t xml:space="preserve"> 2013 at ERCOT Met Center room 168. This meeting will be a joint meeting with NDSWG to work on Sept 2012 ROS Directives.</w:t>
      </w:r>
      <w:r w:rsidR="00F61369">
        <w:rPr>
          <w:rFonts w:cs="Calibri"/>
        </w:rPr>
        <w:t xml:space="preserve"> </w:t>
      </w:r>
    </w:p>
    <w:p w:rsidR="00165E52" w:rsidRPr="00D63FDE" w:rsidRDefault="00165E52" w:rsidP="00165E52">
      <w:pPr>
        <w:pStyle w:val="ListParagraph"/>
        <w:ind w:left="360"/>
        <w:rPr>
          <w:rFonts w:cs="Calibri"/>
        </w:rPr>
      </w:pPr>
    </w:p>
    <w:p w:rsidR="0047273C" w:rsidRPr="007C6C5F" w:rsidRDefault="0047273C" w:rsidP="00165E52">
      <w:pPr>
        <w:spacing w:after="0"/>
        <w:rPr>
          <w:rFonts w:ascii="Georgia" w:hAnsi="Georgia"/>
        </w:rPr>
      </w:pPr>
    </w:p>
    <w:sectPr w:rsidR="0047273C" w:rsidRPr="007C6C5F"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F909B0"/>
    <w:multiLevelType w:val="hybridMultilevel"/>
    <w:tmpl w:val="99E6AB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2">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6"/>
  </w:num>
  <w:num w:numId="4">
    <w:abstractNumId w:val="9"/>
  </w:num>
  <w:num w:numId="5">
    <w:abstractNumId w:val="4"/>
  </w:num>
  <w:num w:numId="6">
    <w:abstractNumId w:val="0"/>
  </w:num>
  <w:num w:numId="7">
    <w:abstractNumId w:val="12"/>
  </w:num>
  <w:num w:numId="8">
    <w:abstractNumId w:val="3"/>
  </w:num>
  <w:num w:numId="9">
    <w:abstractNumId w:val="1"/>
  </w:num>
  <w:num w:numId="10">
    <w:abstractNumId w:val="5"/>
  </w:num>
  <w:num w:numId="11">
    <w:abstractNumId w:val="7"/>
  </w:num>
  <w:num w:numId="12">
    <w:abstractNumId w:val="11"/>
  </w:num>
  <w:num w:numId="13">
    <w:abstractNumId w:val="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45DB"/>
    <w:rsid w:val="000073AC"/>
    <w:rsid w:val="00013694"/>
    <w:rsid w:val="0006701A"/>
    <w:rsid w:val="000704FA"/>
    <w:rsid w:val="000B118E"/>
    <w:rsid w:val="000B3FF4"/>
    <w:rsid w:val="000D191E"/>
    <w:rsid w:val="000F2B8B"/>
    <w:rsid w:val="000F5DF9"/>
    <w:rsid w:val="001020AB"/>
    <w:rsid w:val="00127C45"/>
    <w:rsid w:val="001300F3"/>
    <w:rsid w:val="001316EC"/>
    <w:rsid w:val="001401BB"/>
    <w:rsid w:val="00165E52"/>
    <w:rsid w:val="00177504"/>
    <w:rsid w:val="001E353E"/>
    <w:rsid w:val="001F34C9"/>
    <w:rsid w:val="00256EDE"/>
    <w:rsid w:val="00263CEA"/>
    <w:rsid w:val="002A23C9"/>
    <w:rsid w:val="002A4A9E"/>
    <w:rsid w:val="002E0064"/>
    <w:rsid w:val="002E06C9"/>
    <w:rsid w:val="00331489"/>
    <w:rsid w:val="00332881"/>
    <w:rsid w:val="00341694"/>
    <w:rsid w:val="003600B6"/>
    <w:rsid w:val="00364ED7"/>
    <w:rsid w:val="00370EC3"/>
    <w:rsid w:val="003966CC"/>
    <w:rsid w:val="00396E23"/>
    <w:rsid w:val="003B2C22"/>
    <w:rsid w:val="003C7453"/>
    <w:rsid w:val="003D516B"/>
    <w:rsid w:val="003D5246"/>
    <w:rsid w:val="003D7863"/>
    <w:rsid w:val="004308AD"/>
    <w:rsid w:val="00435944"/>
    <w:rsid w:val="00447403"/>
    <w:rsid w:val="00462E30"/>
    <w:rsid w:val="004666B1"/>
    <w:rsid w:val="0047273C"/>
    <w:rsid w:val="004805AC"/>
    <w:rsid w:val="0048327C"/>
    <w:rsid w:val="00485E20"/>
    <w:rsid w:val="004A1D02"/>
    <w:rsid w:val="004A2211"/>
    <w:rsid w:val="004A571E"/>
    <w:rsid w:val="004B3967"/>
    <w:rsid w:val="004D5166"/>
    <w:rsid w:val="004E6C24"/>
    <w:rsid w:val="004F1D7B"/>
    <w:rsid w:val="00504A51"/>
    <w:rsid w:val="00513F5C"/>
    <w:rsid w:val="005178A8"/>
    <w:rsid w:val="00521C01"/>
    <w:rsid w:val="00527D2D"/>
    <w:rsid w:val="0053172D"/>
    <w:rsid w:val="00541DA5"/>
    <w:rsid w:val="00567D9B"/>
    <w:rsid w:val="00583676"/>
    <w:rsid w:val="00590BB0"/>
    <w:rsid w:val="00592401"/>
    <w:rsid w:val="005A4A3C"/>
    <w:rsid w:val="005B11F6"/>
    <w:rsid w:val="005B14A9"/>
    <w:rsid w:val="00606352"/>
    <w:rsid w:val="006073D2"/>
    <w:rsid w:val="00621007"/>
    <w:rsid w:val="006350A2"/>
    <w:rsid w:val="00637621"/>
    <w:rsid w:val="00655E7C"/>
    <w:rsid w:val="00655F35"/>
    <w:rsid w:val="00662858"/>
    <w:rsid w:val="00672302"/>
    <w:rsid w:val="00693A65"/>
    <w:rsid w:val="006A48A1"/>
    <w:rsid w:val="006B2C72"/>
    <w:rsid w:val="006C45FD"/>
    <w:rsid w:val="006D7ADC"/>
    <w:rsid w:val="006E6E77"/>
    <w:rsid w:val="007173AE"/>
    <w:rsid w:val="00734CA7"/>
    <w:rsid w:val="00740FF4"/>
    <w:rsid w:val="007A1852"/>
    <w:rsid w:val="007A4B0F"/>
    <w:rsid w:val="007B1481"/>
    <w:rsid w:val="007C6C5F"/>
    <w:rsid w:val="007D1DD3"/>
    <w:rsid w:val="007E783C"/>
    <w:rsid w:val="00802C8A"/>
    <w:rsid w:val="00804146"/>
    <w:rsid w:val="00812757"/>
    <w:rsid w:val="008317DF"/>
    <w:rsid w:val="00834E79"/>
    <w:rsid w:val="00836DCA"/>
    <w:rsid w:val="008543AC"/>
    <w:rsid w:val="0086111A"/>
    <w:rsid w:val="00863836"/>
    <w:rsid w:val="0086459D"/>
    <w:rsid w:val="00884B84"/>
    <w:rsid w:val="008B4377"/>
    <w:rsid w:val="008B7149"/>
    <w:rsid w:val="008D27F6"/>
    <w:rsid w:val="00902B74"/>
    <w:rsid w:val="00904754"/>
    <w:rsid w:val="00914FA4"/>
    <w:rsid w:val="00956025"/>
    <w:rsid w:val="00960EB9"/>
    <w:rsid w:val="0098702E"/>
    <w:rsid w:val="00992EBA"/>
    <w:rsid w:val="009B232B"/>
    <w:rsid w:val="009B2471"/>
    <w:rsid w:val="009B6AA6"/>
    <w:rsid w:val="009E3116"/>
    <w:rsid w:val="00A0788C"/>
    <w:rsid w:val="00A16300"/>
    <w:rsid w:val="00A35D8B"/>
    <w:rsid w:val="00A41FB0"/>
    <w:rsid w:val="00A5083E"/>
    <w:rsid w:val="00A5128D"/>
    <w:rsid w:val="00A61108"/>
    <w:rsid w:val="00A64492"/>
    <w:rsid w:val="00A90817"/>
    <w:rsid w:val="00AA12E4"/>
    <w:rsid w:val="00AB0D6A"/>
    <w:rsid w:val="00AC05C3"/>
    <w:rsid w:val="00AC57E7"/>
    <w:rsid w:val="00AC7B9F"/>
    <w:rsid w:val="00AD180D"/>
    <w:rsid w:val="00AD65B2"/>
    <w:rsid w:val="00AF4DA6"/>
    <w:rsid w:val="00AF711E"/>
    <w:rsid w:val="00B01D88"/>
    <w:rsid w:val="00B052BE"/>
    <w:rsid w:val="00B1501A"/>
    <w:rsid w:val="00B32C21"/>
    <w:rsid w:val="00B33277"/>
    <w:rsid w:val="00B52FEA"/>
    <w:rsid w:val="00B62AF1"/>
    <w:rsid w:val="00B648B1"/>
    <w:rsid w:val="00B66BCE"/>
    <w:rsid w:val="00B86D5C"/>
    <w:rsid w:val="00BA3F5E"/>
    <w:rsid w:val="00BC3EC5"/>
    <w:rsid w:val="00BD145D"/>
    <w:rsid w:val="00BD3F7D"/>
    <w:rsid w:val="00BF17E4"/>
    <w:rsid w:val="00C23097"/>
    <w:rsid w:val="00C37408"/>
    <w:rsid w:val="00C46AA0"/>
    <w:rsid w:val="00C609A4"/>
    <w:rsid w:val="00C61410"/>
    <w:rsid w:val="00C63FD8"/>
    <w:rsid w:val="00C7085D"/>
    <w:rsid w:val="00C7365B"/>
    <w:rsid w:val="00C802BB"/>
    <w:rsid w:val="00CD2EFF"/>
    <w:rsid w:val="00CE2266"/>
    <w:rsid w:val="00CF22F6"/>
    <w:rsid w:val="00D229AE"/>
    <w:rsid w:val="00D51E3F"/>
    <w:rsid w:val="00D63E5E"/>
    <w:rsid w:val="00D94ABD"/>
    <w:rsid w:val="00DA136F"/>
    <w:rsid w:val="00DB285C"/>
    <w:rsid w:val="00DC08A7"/>
    <w:rsid w:val="00DC685A"/>
    <w:rsid w:val="00DE221D"/>
    <w:rsid w:val="00DF6B58"/>
    <w:rsid w:val="00E30BFB"/>
    <w:rsid w:val="00E54337"/>
    <w:rsid w:val="00E573DB"/>
    <w:rsid w:val="00E6058A"/>
    <w:rsid w:val="00E850B4"/>
    <w:rsid w:val="00EE2055"/>
    <w:rsid w:val="00EE6C8A"/>
    <w:rsid w:val="00F12322"/>
    <w:rsid w:val="00F15C5B"/>
    <w:rsid w:val="00F3274F"/>
    <w:rsid w:val="00F61369"/>
    <w:rsid w:val="00F624F4"/>
    <w:rsid w:val="00F81811"/>
    <w:rsid w:val="00F83EC9"/>
    <w:rsid w:val="00F926A6"/>
    <w:rsid w:val="00FB0BBC"/>
    <w:rsid w:val="00FB0D09"/>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A7B1BA-A268-4D1D-B923-9C1FC84C7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5</cp:revision>
  <dcterms:created xsi:type="dcterms:W3CDTF">2013-02-08T05:08:00Z</dcterms:created>
  <dcterms:modified xsi:type="dcterms:W3CDTF">2013-02-11T01:32:00Z</dcterms:modified>
</cp:coreProperties>
</file>